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924DF" w14:textId="44743C62" w:rsidR="001D39DA" w:rsidRDefault="001D39DA" w:rsidP="00235217">
      <w:pPr>
        <w:pStyle w:val="Heading1"/>
      </w:pPr>
      <w:bookmarkStart w:id="0" w:name="_Toc357771638"/>
      <w:bookmarkStart w:id="1" w:name="_Toc346793416"/>
      <w:bookmarkStart w:id="2" w:name="_Toc328122777"/>
      <w:bookmarkStart w:id="3" w:name="_GoBack"/>
      <w:bookmarkEnd w:id="3"/>
      <w:r>
        <w:t xml:space="preserve">Key </w:t>
      </w:r>
      <w:r w:rsidRPr="001D39DA">
        <w:t>stage 1 English writing teacher assessment moderation: self-led training resources</w:t>
      </w:r>
    </w:p>
    <w:p w14:paraId="3A65DA59" w14:textId="78FEE9EA" w:rsidR="00363275" w:rsidRDefault="00363275" w:rsidP="00363275">
      <w:pPr>
        <w:pStyle w:val="Heading2"/>
      </w:pPr>
      <w:r>
        <w:t>Training e</w:t>
      </w:r>
      <w:r w:rsidRPr="00C50E47">
        <w:t xml:space="preserve">xercise </w:t>
      </w:r>
      <w:r>
        <w:t>2: I</w:t>
      </w:r>
      <w:r w:rsidRPr="00A8417C">
        <w:t>ndependent writing and writing effectively and coherently (greater depth standard</w:t>
      </w:r>
      <w:r>
        <w:t>)</w:t>
      </w:r>
      <w:r w:rsidRPr="00C50E47">
        <w:t xml:space="preserve"> </w:t>
      </w:r>
    </w:p>
    <w:p w14:paraId="0B847C56" w14:textId="78774802" w:rsidR="000C2F11" w:rsidRDefault="00B913F1" w:rsidP="00235217">
      <w:pPr>
        <w:pStyle w:val="Heading3"/>
      </w:pPr>
      <w:r>
        <w:t>Response document</w:t>
      </w:r>
    </w:p>
    <w:p w14:paraId="55D049FC" w14:textId="5B149148" w:rsidR="00363275" w:rsidRPr="00C50E47" w:rsidRDefault="00363275" w:rsidP="00363275">
      <w:bookmarkStart w:id="4" w:name="_Toc338167831"/>
      <w:bookmarkStart w:id="5" w:name="_Toc361136404"/>
      <w:bookmarkStart w:id="6" w:name="_Toc364235709"/>
      <w:bookmarkStart w:id="7" w:name="_Toc364235753"/>
      <w:bookmarkStart w:id="8" w:name="_Toc364235835"/>
      <w:bookmarkStart w:id="9" w:name="_Toc364840100"/>
      <w:bookmarkStart w:id="10" w:name="_Toc364864310"/>
      <w:bookmarkStart w:id="11" w:name="_Toc400361365"/>
      <w:bookmarkStart w:id="12" w:name="_Toc443397155"/>
      <w:r w:rsidRPr="00C50E47">
        <w:t xml:space="preserve">This document accompanies </w:t>
      </w:r>
      <w:r w:rsidR="00BD6A6B">
        <w:t>key stage 1 (</w:t>
      </w:r>
      <w:r w:rsidRPr="00C50E47">
        <w:t>KS1</w:t>
      </w:r>
      <w:r w:rsidR="00BD6A6B">
        <w:t>)</w:t>
      </w:r>
      <w:r>
        <w:t xml:space="preserve"> training exercise 2</w:t>
      </w:r>
      <w:r w:rsidRPr="00C50E47">
        <w:t xml:space="preserve">. You can use it on screen to type and save your responses to particular activities in that exercise. </w:t>
      </w:r>
    </w:p>
    <w:p w14:paraId="32B33E56" w14:textId="77777777" w:rsidR="00363275" w:rsidRPr="00C50E47" w:rsidRDefault="00363275" w:rsidP="00363275">
      <w:pPr>
        <w:rPr>
          <w:b/>
        </w:rPr>
      </w:pPr>
      <w:r w:rsidRPr="00C50E47">
        <w:t xml:space="preserve">To complete annotation activities, you will need to print out pieces A, </w:t>
      </w:r>
      <w:r>
        <w:t>B and C from the work of Pupil B.</w:t>
      </w:r>
    </w:p>
    <w:tbl>
      <w:tblPr>
        <w:tblStyle w:val="TableGrid"/>
        <w:tblW w:w="0" w:type="auto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18" w:space="0" w:color="104F75"/>
          <w:insideV w:val="single" w:sz="18" w:space="0" w:color="104F75"/>
        </w:tblBorders>
        <w:tblLook w:val="04A0" w:firstRow="1" w:lastRow="0" w:firstColumn="1" w:lastColumn="0" w:noHBand="0" w:noVBand="1"/>
      </w:tblPr>
      <w:tblGrid>
        <w:gridCol w:w="9450"/>
      </w:tblGrid>
      <w:tr w:rsidR="00235217" w14:paraId="45C1EDDA" w14:textId="77777777" w:rsidTr="00D15801">
        <w:tc>
          <w:tcPr>
            <w:tcW w:w="9486" w:type="dxa"/>
          </w:tcPr>
          <w:p w14:paraId="1B9ACD6A" w14:textId="1C268154" w:rsidR="00235217" w:rsidRPr="00363275" w:rsidRDefault="00235217" w:rsidP="00363275">
            <w:pPr>
              <w:pStyle w:val="Heading4"/>
            </w:pPr>
            <w:r w:rsidRPr="00363275">
              <w:t xml:space="preserve">Activity 1a: </w:t>
            </w:r>
            <w:r w:rsidR="00735F90">
              <w:t>I</w:t>
            </w:r>
            <w:r w:rsidR="00363275" w:rsidRPr="00363275">
              <w:t>ndependent writing</w:t>
            </w:r>
          </w:p>
          <w:p w14:paraId="3FAC0829" w14:textId="19A6AAFC" w:rsidR="00235217" w:rsidRPr="00363275" w:rsidRDefault="00363275" w:rsidP="00235217">
            <w:pPr>
              <w:rPr>
                <w:b/>
              </w:rPr>
            </w:pPr>
            <w:r w:rsidRPr="00C50E47">
              <w:t>Consider situations in which writing would not be classified as independent and therefore be unsuitable for use in assessment and moderation. Record your ideas below.</w:t>
            </w:r>
          </w:p>
        </w:tc>
      </w:tr>
    </w:tbl>
    <w:p w14:paraId="536CF6E9" w14:textId="77777777" w:rsidR="00363275" w:rsidRDefault="00363275">
      <w:pPr>
        <w:spacing w:after="0" w:line="240" w:lineRule="auto"/>
        <w:rPr>
          <w:b/>
        </w:rPr>
      </w:pPr>
    </w:p>
    <w:p w14:paraId="742A026E" w14:textId="77777777" w:rsidR="00363275" w:rsidRDefault="00363275">
      <w:pPr>
        <w:spacing w:after="0" w:line="240" w:lineRule="auto"/>
        <w:rPr>
          <w:b/>
        </w:rPr>
      </w:pPr>
      <w:r w:rsidRPr="00C50E47">
        <w:rPr>
          <w:rFonts w:cs="Arial"/>
          <w:noProof/>
        </w:rPr>
        <w:drawing>
          <wp:inline distT="0" distB="0" distL="0" distR="0" wp14:anchorId="67B5D3FE" wp14:editId="4592B441">
            <wp:extent cx="302999" cy="254000"/>
            <wp:effectExtent l="0" t="0" r="1905" b="0"/>
            <wp:docPr id="1" name="Picture 1" descr="Cartoon Pen Stock Illustrations – 63,207 Cartoon Pen Stock Illustrations, 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Pen Stock Illustrations – 63,207 Cartoon Pen Stock Illustrations, 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9" cy="28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CC99" w14:textId="77777777" w:rsidR="00363275" w:rsidRDefault="003632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63275" w14:paraId="51818DF0" w14:textId="77777777" w:rsidTr="00363275">
        <w:tc>
          <w:tcPr>
            <w:tcW w:w="9486" w:type="dxa"/>
          </w:tcPr>
          <w:p w14:paraId="4A44EE94" w14:textId="1E4FBD33" w:rsidR="00363275" w:rsidRDefault="00363275" w:rsidP="00363275">
            <w:pPr>
              <w:spacing w:before="120" w:after="120"/>
            </w:pPr>
          </w:p>
        </w:tc>
      </w:tr>
      <w:tr w:rsidR="00363275" w14:paraId="13D6C6BE" w14:textId="77777777" w:rsidTr="00363275">
        <w:tc>
          <w:tcPr>
            <w:tcW w:w="9486" w:type="dxa"/>
          </w:tcPr>
          <w:p w14:paraId="722F18C9" w14:textId="77777777" w:rsidR="00363275" w:rsidRDefault="00363275" w:rsidP="00363275">
            <w:pPr>
              <w:spacing w:before="120" w:after="120"/>
            </w:pPr>
          </w:p>
        </w:tc>
      </w:tr>
      <w:tr w:rsidR="00363275" w14:paraId="726F7D8D" w14:textId="77777777" w:rsidTr="00363275">
        <w:tc>
          <w:tcPr>
            <w:tcW w:w="9486" w:type="dxa"/>
          </w:tcPr>
          <w:p w14:paraId="319313E8" w14:textId="77777777" w:rsidR="00363275" w:rsidRDefault="00363275" w:rsidP="00363275">
            <w:pPr>
              <w:spacing w:before="120" w:after="120"/>
            </w:pPr>
          </w:p>
        </w:tc>
      </w:tr>
      <w:tr w:rsidR="00363275" w14:paraId="70052E54" w14:textId="77777777" w:rsidTr="00363275">
        <w:tc>
          <w:tcPr>
            <w:tcW w:w="9486" w:type="dxa"/>
          </w:tcPr>
          <w:p w14:paraId="3A3074FF" w14:textId="77777777" w:rsidR="00363275" w:rsidRDefault="00363275" w:rsidP="00363275">
            <w:pPr>
              <w:spacing w:before="120" w:after="120"/>
            </w:pPr>
          </w:p>
        </w:tc>
      </w:tr>
      <w:tr w:rsidR="00363275" w14:paraId="5820E7A1" w14:textId="77777777" w:rsidTr="00363275">
        <w:tc>
          <w:tcPr>
            <w:tcW w:w="9486" w:type="dxa"/>
          </w:tcPr>
          <w:p w14:paraId="11CF489A" w14:textId="77777777" w:rsidR="00363275" w:rsidRDefault="00363275" w:rsidP="00363275">
            <w:pPr>
              <w:spacing w:before="120" w:after="120"/>
            </w:pPr>
          </w:p>
        </w:tc>
      </w:tr>
      <w:tr w:rsidR="00363275" w14:paraId="496C400B" w14:textId="77777777" w:rsidTr="00363275">
        <w:tc>
          <w:tcPr>
            <w:tcW w:w="9486" w:type="dxa"/>
          </w:tcPr>
          <w:p w14:paraId="0162E15C" w14:textId="77777777" w:rsidR="00363275" w:rsidRDefault="00363275" w:rsidP="00363275">
            <w:pPr>
              <w:spacing w:before="120" w:after="120"/>
            </w:pPr>
          </w:p>
        </w:tc>
      </w:tr>
    </w:tbl>
    <w:p w14:paraId="2887E84A" w14:textId="77777777" w:rsidR="00363275" w:rsidRDefault="00363275">
      <w:pPr>
        <w:spacing w:after="0" w:line="240" w:lineRule="auto"/>
        <w:rPr>
          <w:b/>
        </w:rPr>
      </w:pPr>
    </w:p>
    <w:p w14:paraId="406F6EC7" w14:textId="77777777" w:rsidR="00363275" w:rsidRDefault="00363275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18" w:space="0" w:color="104F75"/>
          <w:insideV w:val="single" w:sz="18" w:space="0" w:color="104F75"/>
        </w:tblBorders>
        <w:tblLook w:val="04A0" w:firstRow="1" w:lastRow="0" w:firstColumn="1" w:lastColumn="0" w:noHBand="0" w:noVBand="1"/>
      </w:tblPr>
      <w:tblGrid>
        <w:gridCol w:w="9450"/>
      </w:tblGrid>
      <w:tr w:rsidR="00363275" w14:paraId="3A63AFCD" w14:textId="77777777" w:rsidTr="008A0C13">
        <w:tc>
          <w:tcPr>
            <w:tcW w:w="9486" w:type="dxa"/>
          </w:tcPr>
          <w:p w14:paraId="41C1C320" w14:textId="7A9F70B8" w:rsidR="00363275" w:rsidRPr="00363275" w:rsidRDefault="00363275" w:rsidP="00363275">
            <w:pPr>
              <w:pStyle w:val="Heading4"/>
            </w:pPr>
            <w:r w:rsidRPr="00363275">
              <w:lastRenderedPageBreak/>
              <w:t>Activity 1b</w:t>
            </w:r>
            <w:r>
              <w:t>:</w:t>
            </w:r>
            <w:r w:rsidRPr="00363275">
              <w:t xml:space="preserve"> </w:t>
            </w:r>
            <w:r w:rsidR="00735F90">
              <w:t>I</w:t>
            </w:r>
            <w:r w:rsidRPr="00363275">
              <w:t>ndependent writing</w:t>
            </w:r>
          </w:p>
          <w:p w14:paraId="41677E43" w14:textId="64878F7F" w:rsidR="00363275" w:rsidRPr="00363275" w:rsidRDefault="00363275" w:rsidP="00363275">
            <w:pPr>
              <w:rPr>
                <w:i/>
                <w:iCs/>
                <w:highlight w:val="yellow"/>
              </w:rPr>
            </w:pPr>
            <w:r w:rsidRPr="00C50E47">
              <w:t xml:space="preserve">Now think about </w:t>
            </w:r>
            <w:r>
              <w:t xml:space="preserve">how independent writing can be </w:t>
            </w:r>
            <w:r w:rsidRPr="00C50E47">
              <w:t>successfu</w:t>
            </w:r>
            <w:r>
              <w:t>l</w:t>
            </w:r>
            <w:r w:rsidRPr="00C50E47">
              <w:t>l</w:t>
            </w:r>
            <w:r>
              <w:t>y facilitated, allowing</w:t>
            </w:r>
            <w:r w:rsidRPr="00C50E47">
              <w:t xml:space="preserve"> pupils to</w:t>
            </w:r>
            <w:r>
              <w:t xml:space="preserve"> apply and demonstrate their writing skills.</w:t>
            </w:r>
            <w:r w:rsidRPr="00C50E47">
              <w:rPr>
                <w:i/>
                <w:iCs/>
              </w:rPr>
              <w:t xml:space="preserve"> </w:t>
            </w:r>
            <w:r w:rsidRPr="00C50E47">
              <w:rPr>
                <w:iCs/>
              </w:rPr>
              <w:t xml:space="preserve">What strategies and approaches could be engaged to enable pupils to </w:t>
            </w:r>
            <w:r w:rsidRPr="00363275">
              <w:rPr>
                <w:b/>
                <w:iCs/>
              </w:rPr>
              <w:t>independently</w:t>
            </w:r>
            <w:r w:rsidRPr="00C50E47">
              <w:rPr>
                <w:iCs/>
              </w:rPr>
              <w:t xml:space="preserve"> write in a sustained way?</w:t>
            </w:r>
          </w:p>
        </w:tc>
      </w:tr>
    </w:tbl>
    <w:p w14:paraId="6112C83E" w14:textId="77777777" w:rsidR="00363275" w:rsidRDefault="00363275">
      <w:pPr>
        <w:spacing w:after="0" w:line="240" w:lineRule="auto"/>
        <w:rPr>
          <w:b/>
        </w:rPr>
      </w:pPr>
    </w:p>
    <w:p w14:paraId="7DB838E0" w14:textId="77777777" w:rsidR="00363275" w:rsidRDefault="00363275" w:rsidP="00363275">
      <w:r w:rsidRPr="00C50E47">
        <w:rPr>
          <w:noProof/>
        </w:rPr>
        <w:drawing>
          <wp:inline distT="0" distB="0" distL="0" distR="0" wp14:anchorId="1F6AD5A6" wp14:editId="609306E9">
            <wp:extent cx="302999" cy="254000"/>
            <wp:effectExtent l="0" t="0" r="1905" b="0"/>
            <wp:docPr id="2" name="Picture 2" descr="Cartoon Pen Stock Illustrations – 63,207 Cartoon Pen Stock Illustrations, 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Pen Stock Illustrations – 63,207 Cartoon Pen Stock Illustrations, 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9" cy="28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E47">
        <w:rPr>
          <w:rFonts w:eastAsia="Arial"/>
          <w:color w:val="104F75"/>
          <w:position w:val="-1"/>
        </w:rPr>
        <w:t xml:space="preserve"> </w:t>
      </w:r>
      <w:r w:rsidRPr="00363275">
        <w:rPr>
          <w:b/>
        </w:rPr>
        <w:t>Successful facilitation of independent writing</w:t>
      </w:r>
      <w:r w:rsidRPr="00C50E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63275" w14:paraId="31471D7F" w14:textId="77777777" w:rsidTr="008A0C13">
        <w:tc>
          <w:tcPr>
            <w:tcW w:w="9486" w:type="dxa"/>
          </w:tcPr>
          <w:p w14:paraId="390C8B41" w14:textId="77777777" w:rsidR="00363275" w:rsidRDefault="00363275" w:rsidP="008A0C13">
            <w:pPr>
              <w:spacing w:before="120" w:after="120"/>
            </w:pPr>
          </w:p>
        </w:tc>
      </w:tr>
      <w:tr w:rsidR="00363275" w14:paraId="049FB3AE" w14:textId="77777777" w:rsidTr="008A0C13">
        <w:tc>
          <w:tcPr>
            <w:tcW w:w="9486" w:type="dxa"/>
          </w:tcPr>
          <w:p w14:paraId="104365A9" w14:textId="77777777" w:rsidR="00363275" w:rsidRDefault="00363275" w:rsidP="008A0C13">
            <w:pPr>
              <w:spacing w:before="120" w:after="120"/>
            </w:pPr>
          </w:p>
        </w:tc>
      </w:tr>
      <w:tr w:rsidR="00363275" w14:paraId="4CF56416" w14:textId="77777777" w:rsidTr="008A0C13">
        <w:tc>
          <w:tcPr>
            <w:tcW w:w="9486" w:type="dxa"/>
          </w:tcPr>
          <w:p w14:paraId="7DBCBEEC" w14:textId="77777777" w:rsidR="00363275" w:rsidRDefault="00363275" w:rsidP="008A0C13">
            <w:pPr>
              <w:spacing w:before="120" w:after="120"/>
            </w:pPr>
          </w:p>
        </w:tc>
      </w:tr>
      <w:tr w:rsidR="00363275" w14:paraId="09E7E7F8" w14:textId="77777777" w:rsidTr="008A0C13">
        <w:tc>
          <w:tcPr>
            <w:tcW w:w="9486" w:type="dxa"/>
          </w:tcPr>
          <w:p w14:paraId="7D0D7FAC" w14:textId="77777777" w:rsidR="00363275" w:rsidRDefault="00363275" w:rsidP="008A0C13">
            <w:pPr>
              <w:spacing w:before="120" w:after="120"/>
            </w:pPr>
          </w:p>
        </w:tc>
      </w:tr>
      <w:tr w:rsidR="00363275" w14:paraId="366E7494" w14:textId="77777777" w:rsidTr="008A0C13">
        <w:tc>
          <w:tcPr>
            <w:tcW w:w="9486" w:type="dxa"/>
          </w:tcPr>
          <w:p w14:paraId="20BAB996" w14:textId="77777777" w:rsidR="00363275" w:rsidRDefault="00363275" w:rsidP="008A0C13">
            <w:pPr>
              <w:spacing w:before="120" w:after="120"/>
            </w:pPr>
          </w:p>
        </w:tc>
      </w:tr>
      <w:tr w:rsidR="00363275" w14:paraId="7B3C8DE5" w14:textId="77777777" w:rsidTr="008A0C13">
        <w:tc>
          <w:tcPr>
            <w:tcW w:w="9486" w:type="dxa"/>
          </w:tcPr>
          <w:p w14:paraId="467B1760" w14:textId="77777777" w:rsidR="00363275" w:rsidRDefault="00363275" w:rsidP="008A0C13">
            <w:pPr>
              <w:spacing w:before="120" w:after="120"/>
            </w:pPr>
          </w:p>
        </w:tc>
      </w:tr>
      <w:tr w:rsidR="00363275" w14:paraId="3C05346D" w14:textId="77777777" w:rsidTr="008A0C13">
        <w:tc>
          <w:tcPr>
            <w:tcW w:w="9486" w:type="dxa"/>
          </w:tcPr>
          <w:p w14:paraId="0B224030" w14:textId="77777777" w:rsidR="00363275" w:rsidRDefault="00363275" w:rsidP="008A0C13">
            <w:pPr>
              <w:spacing w:before="120" w:after="120"/>
            </w:pPr>
          </w:p>
        </w:tc>
      </w:tr>
      <w:tr w:rsidR="00363275" w14:paraId="6ED29D88" w14:textId="77777777" w:rsidTr="008A0C13">
        <w:tc>
          <w:tcPr>
            <w:tcW w:w="9486" w:type="dxa"/>
          </w:tcPr>
          <w:p w14:paraId="03F87CA6" w14:textId="77777777" w:rsidR="00363275" w:rsidRDefault="00363275" w:rsidP="008A0C13">
            <w:pPr>
              <w:spacing w:before="120" w:after="120"/>
            </w:pPr>
          </w:p>
        </w:tc>
      </w:tr>
    </w:tbl>
    <w:p w14:paraId="19D6356E" w14:textId="77777777" w:rsidR="00363275" w:rsidRPr="00C50E47" w:rsidRDefault="00363275" w:rsidP="00363275">
      <w:pPr>
        <w:rPr>
          <w:rFonts w:cs="Arial"/>
          <w:b/>
          <w:color w:val="000000" w:themeColor="text1"/>
        </w:rPr>
      </w:pPr>
    </w:p>
    <w:p w14:paraId="66EA441A" w14:textId="77777777" w:rsidR="00363275" w:rsidRDefault="00363275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18" w:space="0" w:color="104F75"/>
          <w:insideV w:val="single" w:sz="18" w:space="0" w:color="104F75"/>
        </w:tblBorders>
        <w:tblLook w:val="04A0" w:firstRow="1" w:lastRow="0" w:firstColumn="1" w:lastColumn="0" w:noHBand="0" w:noVBand="1"/>
      </w:tblPr>
      <w:tblGrid>
        <w:gridCol w:w="9450"/>
      </w:tblGrid>
      <w:tr w:rsidR="00363275" w14:paraId="3738D473" w14:textId="77777777" w:rsidTr="00D22918">
        <w:tc>
          <w:tcPr>
            <w:tcW w:w="9450" w:type="dxa"/>
          </w:tcPr>
          <w:p w14:paraId="7330ACC0" w14:textId="581E29B8" w:rsidR="00D22918" w:rsidRPr="00D22918" w:rsidRDefault="00735F90" w:rsidP="00D22918">
            <w:pPr>
              <w:pStyle w:val="Heading4"/>
            </w:pPr>
            <w:r>
              <w:lastRenderedPageBreak/>
              <w:t>Activity 2a: G</w:t>
            </w:r>
            <w:r w:rsidR="00D22918" w:rsidRPr="00D22918">
              <w:t>athering evidence from writing</w:t>
            </w:r>
          </w:p>
          <w:p w14:paraId="21574889" w14:textId="77777777" w:rsidR="00D22918" w:rsidRPr="00D22918" w:rsidRDefault="00D22918" w:rsidP="00D22918">
            <w:pPr>
              <w:rPr>
                <w:b/>
              </w:rPr>
            </w:pPr>
            <w:r w:rsidRPr="00D22918">
              <w:rPr>
                <w:b/>
              </w:rPr>
              <w:t xml:space="preserve">Refer to Pupil B, pieces A, B and C </w:t>
            </w:r>
          </w:p>
          <w:p w14:paraId="3FCD1DAE" w14:textId="17FF8364" w:rsidR="00D22918" w:rsidRPr="00C50E47" w:rsidRDefault="00D22918" w:rsidP="00D22918">
            <w:r w:rsidRPr="00C50E47">
              <w:t>Drawing on y</w:t>
            </w:r>
            <w:r>
              <w:t>our understanding of the first greater depth</w:t>
            </w:r>
            <w:r w:rsidRPr="00C50E47">
              <w:t xml:space="preserve"> ‘pupil can’ statement, make detailed notes, including examples, on the following points:</w:t>
            </w:r>
          </w:p>
          <w:p w14:paraId="6A4871B6" w14:textId="49DE8894" w:rsidR="00D22918" w:rsidRPr="00C50E47" w:rsidRDefault="00D22918" w:rsidP="00D22918">
            <w:r w:rsidRPr="00C50E47">
              <w:t>How Pupil B’s writing:</w:t>
            </w:r>
          </w:p>
          <w:p w14:paraId="2B6D1C03" w14:textId="378F8574" w:rsidR="00D22918" w:rsidRPr="00D91A2F" w:rsidRDefault="00D22918" w:rsidP="00D22918">
            <w:pPr>
              <w:pStyle w:val="ListParagraph"/>
            </w:pPr>
            <w:r w:rsidRPr="00D91A2F">
              <w:t xml:space="preserve">uses the key aspects of </w:t>
            </w:r>
            <w:r w:rsidRPr="00D22918">
              <w:rPr>
                <w:b/>
              </w:rPr>
              <w:t>coherence</w:t>
            </w:r>
            <w:r>
              <w:t xml:space="preserve"> and their </w:t>
            </w:r>
            <w:r w:rsidRPr="00D91A2F">
              <w:t xml:space="preserve">increasing understanding of </w:t>
            </w:r>
            <w:r w:rsidRPr="00D22918">
              <w:rPr>
                <w:b/>
              </w:rPr>
              <w:t>purpose</w:t>
            </w:r>
            <w:r w:rsidRPr="00D91A2F">
              <w:t xml:space="preserve"> to </w:t>
            </w:r>
            <w:r>
              <w:t xml:space="preserve">communicate </w:t>
            </w:r>
            <w:r w:rsidRPr="00D91A2F">
              <w:t>effectively</w:t>
            </w:r>
            <w:r>
              <w:t xml:space="preserve"> and have an</w:t>
            </w:r>
            <w:r w:rsidRPr="00D91A2F">
              <w:t xml:space="preserve"> impact on the reader</w:t>
            </w:r>
          </w:p>
          <w:p w14:paraId="200692C2" w14:textId="5E5AA8FC" w:rsidR="00363275" w:rsidRPr="00D22918" w:rsidRDefault="00D22918" w:rsidP="008A0C13">
            <w:pPr>
              <w:pStyle w:val="ListParagraph"/>
            </w:pPr>
            <w:r w:rsidRPr="00D91A2F">
              <w:t xml:space="preserve">draws on their </w:t>
            </w:r>
            <w:r w:rsidRPr="00D91A2F">
              <w:rPr>
                <w:b/>
              </w:rPr>
              <w:t>reading</w:t>
            </w:r>
            <w:r w:rsidRPr="00D91A2F">
              <w:t xml:space="preserve"> to inform the </w:t>
            </w:r>
            <w:r w:rsidRPr="00D91A2F">
              <w:rPr>
                <w:b/>
              </w:rPr>
              <w:t>vocabulary</w:t>
            </w:r>
            <w:r w:rsidRPr="00D91A2F">
              <w:t xml:space="preserve"> and </w:t>
            </w:r>
            <w:r w:rsidRPr="00D91A2F">
              <w:rPr>
                <w:b/>
              </w:rPr>
              <w:t>grammar</w:t>
            </w:r>
            <w:r w:rsidRPr="00D91A2F">
              <w:t xml:space="preserve"> of their writing</w:t>
            </w:r>
            <w:r>
              <w:t>, demonstrating</w:t>
            </w:r>
            <w:r w:rsidRPr="00D91A2F">
              <w:t xml:space="preserve"> how they are meeting the first </w:t>
            </w:r>
            <w:r>
              <w:t>greater depth statement</w:t>
            </w:r>
            <w:r w:rsidRPr="00D91A2F">
              <w:t>.</w:t>
            </w:r>
          </w:p>
        </w:tc>
      </w:tr>
    </w:tbl>
    <w:p w14:paraId="5E07AC4E" w14:textId="77777777" w:rsidR="00D22918" w:rsidRDefault="00D22918" w:rsidP="00D229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iCs/>
        </w:rPr>
      </w:pPr>
    </w:p>
    <w:p w14:paraId="77681B83" w14:textId="39DDE135" w:rsidR="00D22918" w:rsidRDefault="00D22918" w:rsidP="00D229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iCs/>
        </w:rPr>
      </w:pPr>
      <w:r w:rsidRPr="00D91A2F">
        <w:rPr>
          <w:rFonts w:cs="Arial"/>
          <w:iCs/>
        </w:rPr>
        <w:t>Can you identify how the first statement for greater depth has been demonstrated collectively from these three pieces of writing?</w:t>
      </w:r>
    </w:p>
    <w:p w14:paraId="504849D4" w14:textId="77777777" w:rsidR="00D22918" w:rsidRPr="00D91A2F" w:rsidRDefault="00D22918" w:rsidP="00D229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22918" w14:paraId="7A98A9D8" w14:textId="77777777" w:rsidTr="00D22918">
        <w:tc>
          <w:tcPr>
            <w:tcW w:w="9486" w:type="dxa"/>
          </w:tcPr>
          <w:p w14:paraId="23388180" w14:textId="0B399925" w:rsidR="00D22918" w:rsidRDefault="00D22918" w:rsidP="00D82EE3">
            <w:pPr>
              <w:pStyle w:val="Heading4"/>
            </w:pPr>
            <w:r w:rsidRPr="005110AF">
              <w:t xml:space="preserve">Piece A </w:t>
            </w:r>
            <w:r w:rsidR="00E10CC1" w:rsidRPr="00E10CC1">
              <w:t>–</w:t>
            </w:r>
            <w:r w:rsidRPr="005110AF">
              <w:t xml:space="preserve"> a letter</w:t>
            </w:r>
          </w:p>
          <w:p w14:paraId="28C3DFBC" w14:textId="7D6AF2CE" w:rsidR="00D82EE3" w:rsidRPr="00D82EE3" w:rsidRDefault="00D82EE3" w:rsidP="00D82EE3">
            <w:r w:rsidRPr="00D91A2F">
              <w:rPr>
                <w:rFonts w:cs="Arial"/>
                <w:noProof/>
              </w:rPr>
              <w:drawing>
                <wp:inline distT="0" distB="0" distL="0" distR="0" wp14:anchorId="0AF1BBEE" wp14:editId="76C34CEF">
                  <wp:extent cx="302999" cy="254000"/>
                  <wp:effectExtent l="0" t="0" r="1905" b="0"/>
                  <wp:docPr id="4" name="Picture 4" descr="Cartoon Pen Stock Illustrations – 63,207 Cartoon Pen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Pen Stock Illustrations – 63,207 Cartoon Pen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99" cy="28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B368E" w14:textId="77777777" w:rsidR="00D22918" w:rsidRDefault="00D22918" w:rsidP="00D22918">
            <w:pPr>
              <w:spacing w:before="120" w:after="120"/>
            </w:pPr>
          </w:p>
        </w:tc>
      </w:tr>
      <w:tr w:rsidR="00D22918" w14:paraId="41323218" w14:textId="77777777" w:rsidTr="00D22918">
        <w:tc>
          <w:tcPr>
            <w:tcW w:w="9486" w:type="dxa"/>
          </w:tcPr>
          <w:p w14:paraId="517C0F53" w14:textId="77777777" w:rsidR="00D22918" w:rsidRDefault="00D22918" w:rsidP="00D82EE3">
            <w:pPr>
              <w:pStyle w:val="Heading4"/>
            </w:pPr>
            <w:r w:rsidRPr="005110AF">
              <w:t>Piece B – a story</w:t>
            </w:r>
          </w:p>
          <w:p w14:paraId="1C47826B" w14:textId="7E630F98" w:rsidR="00D82EE3" w:rsidRPr="00D82EE3" w:rsidRDefault="00D82EE3" w:rsidP="00D82EE3">
            <w:r w:rsidRPr="00D91A2F">
              <w:rPr>
                <w:rFonts w:cs="Arial"/>
                <w:noProof/>
              </w:rPr>
              <w:drawing>
                <wp:inline distT="0" distB="0" distL="0" distR="0" wp14:anchorId="395A3A6C" wp14:editId="558012FB">
                  <wp:extent cx="302999" cy="254000"/>
                  <wp:effectExtent l="0" t="0" r="1905" b="0"/>
                  <wp:docPr id="7" name="Picture 7" descr="Cartoon Pen Stock Illustrations – 63,207 Cartoon Pen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Pen Stock Illustrations – 63,207 Cartoon Pen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99" cy="28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8AF84" w14:textId="77777777" w:rsidR="00D22918" w:rsidRDefault="00D22918" w:rsidP="00D22918">
            <w:pPr>
              <w:spacing w:before="120" w:after="120"/>
            </w:pPr>
          </w:p>
        </w:tc>
      </w:tr>
      <w:tr w:rsidR="00D22918" w14:paraId="6FC7FB32" w14:textId="77777777" w:rsidTr="00D22918">
        <w:tc>
          <w:tcPr>
            <w:tcW w:w="9486" w:type="dxa"/>
          </w:tcPr>
          <w:p w14:paraId="7745C759" w14:textId="77777777" w:rsidR="00D22918" w:rsidRDefault="00D22918" w:rsidP="00D82EE3">
            <w:pPr>
              <w:pStyle w:val="Heading4"/>
            </w:pPr>
            <w:r w:rsidRPr="005110AF">
              <w:t>Piece C – an extract from a newsletter</w:t>
            </w:r>
          </w:p>
          <w:p w14:paraId="60D4325B" w14:textId="479CBFB3" w:rsidR="00D82EE3" w:rsidRPr="00D82EE3" w:rsidRDefault="00D82EE3" w:rsidP="00D82EE3">
            <w:r w:rsidRPr="00D91A2F">
              <w:rPr>
                <w:rFonts w:cs="Arial"/>
                <w:noProof/>
              </w:rPr>
              <w:drawing>
                <wp:inline distT="0" distB="0" distL="0" distR="0" wp14:anchorId="63730C6B" wp14:editId="4FB04F45">
                  <wp:extent cx="302999" cy="254000"/>
                  <wp:effectExtent l="0" t="0" r="1905" b="0"/>
                  <wp:docPr id="10" name="Picture 10" descr="Cartoon Pen Stock Illustrations – 63,207 Cartoon Pen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Pen Stock Illustrations – 63,207 Cartoon Pen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99" cy="28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8A613" w14:textId="77777777" w:rsidR="00D22918" w:rsidRDefault="00D22918" w:rsidP="00D22918">
            <w:pPr>
              <w:spacing w:before="120" w:after="120"/>
            </w:pPr>
          </w:p>
        </w:tc>
      </w:tr>
    </w:tbl>
    <w:p w14:paraId="5A8A53F9" w14:textId="77777777" w:rsidR="00D22918" w:rsidRDefault="00D22918" w:rsidP="00D22918"/>
    <w:p w14:paraId="39EC60F0" w14:textId="77777777" w:rsidR="00BB2ACC" w:rsidRDefault="00BB2ACC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18" w:space="0" w:color="104F75"/>
          <w:insideV w:val="single" w:sz="18" w:space="0" w:color="104F75"/>
        </w:tblBorders>
        <w:tblLook w:val="04A0" w:firstRow="1" w:lastRow="0" w:firstColumn="1" w:lastColumn="0" w:noHBand="0" w:noVBand="1"/>
      </w:tblPr>
      <w:tblGrid>
        <w:gridCol w:w="9450"/>
      </w:tblGrid>
      <w:tr w:rsidR="00BB2ACC" w14:paraId="52A2DDCF" w14:textId="77777777" w:rsidTr="008A0C13">
        <w:tc>
          <w:tcPr>
            <w:tcW w:w="9450" w:type="dxa"/>
          </w:tcPr>
          <w:p w14:paraId="3C4C1597" w14:textId="08270654" w:rsidR="00BB2ACC" w:rsidRPr="00D91A2F" w:rsidRDefault="00BB2ACC" w:rsidP="00BB2ACC">
            <w:pPr>
              <w:pStyle w:val="Heading4"/>
            </w:pPr>
            <w:r w:rsidRPr="00D91A2F">
              <w:lastRenderedPageBreak/>
              <w:t xml:space="preserve">Activity 2b: </w:t>
            </w:r>
            <w:r w:rsidR="00735F90">
              <w:t>C</w:t>
            </w:r>
            <w:r w:rsidRPr="00D91A2F">
              <w:t>ollating and considering evidence</w:t>
            </w:r>
          </w:p>
          <w:p w14:paraId="26E2DE53" w14:textId="77777777" w:rsidR="00BB2ACC" w:rsidRPr="00BB2ACC" w:rsidRDefault="00BB2ACC" w:rsidP="00BB2ACC">
            <w:r w:rsidRPr="00BB2ACC">
              <w:t xml:space="preserve">Now read and </w:t>
            </w:r>
            <w:r w:rsidRPr="00BB2ACC">
              <w:rPr>
                <w:b/>
              </w:rPr>
              <w:t>make notes or annotate</w:t>
            </w:r>
            <w:r w:rsidRPr="00BB2ACC">
              <w:t xml:space="preserve"> the commentary for Pupil B.</w:t>
            </w:r>
          </w:p>
          <w:p w14:paraId="6877DC48" w14:textId="77777777" w:rsidR="00BB2ACC" w:rsidRPr="00BB2ACC" w:rsidRDefault="00BB2ACC" w:rsidP="00BB2ACC">
            <w:r w:rsidRPr="00BB2ACC">
              <w:t>Can you identify how the three pieces from Pupil B have collectively evidenced the first statement for greater depth?</w:t>
            </w:r>
          </w:p>
          <w:p w14:paraId="5DC11080" w14:textId="594AB6F5" w:rsidR="00BB2ACC" w:rsidRPr="00D22918" w:rsidRDefault="00BB2ACC" w:rsidP="00BB2ACC">
            <w:r w:rsidRPr="00BB2ACC">
              <w:t>‘The pupil can, after discussion with the teacher, write effectively and coherently for different purposes, drawing on their reading to inform the vocabulary and grammar of their writing.’</w:t>
            </w:r>
          </w:p>
        </w:tc>
      </w:tr>
    </w:tbl>
    <w:p w14:paraId="2FA01612" w14:textId="77777777" w:rsidR="00BB2ACC" w:rsidRDefault="00BB2ACC" w:rsidP="00D82E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B2ACC" w14:paraId="3B3CC0FA" w14:textId="77777777" w:rsidTr="00BB2ACC">
        <w:tc>
          <w:tcPr>
            <w:tcW w:w="9486" w:type="dxa"/>
          </w:tcPr>
          <w:p w14:paraId="621F74C9" w14:textId="3517914A" w:rsidR="00BB2ACC" w:rsidRPr="00D82EE3" w:rsidRDefault="00BB2ACC" w:rsidP="00D82EE3">
            <w:pPr>
              <w:pStyle w:val="Heading4"/>
              <w:rPr>
                <w:rFonts w:eastAsia="Arial"/>
              </w:rPr>
            </w:pPr>
            <w:r w:rsidRPr="00D82EE3">
              <w:rPr>
                <w:rFonts w:eastAsia="Arial"/>
              </w:rPr>
              <w:t>C</w:t>
            </w:r>
            <w:r w:rsidR="00D82EE3">
              <w:rPr>
                <w:rFonts w:eastAsia="Arial"/>
              </w:rPr>
              <w:t>ommentary</w:t>
            </w:r>
            <w:r w:rsidRPr="00D82EE3">
              <w:rPr>
                <w:rFonts w:eastAsia="Arial"/>
              </w:rPr>
              <w:t xml:space="preserve"> – P</w:t>
            </w:r>
            <w:r w:rsidR="00D82EE3">
              <w:rPr>
                <w:rFonts w:eastAsia="Arial"/>
              </w:rPr>
              <w:t>upil</w:t>
            </w:r>
            <w:r w:rsidRPr="00D82EE3">
              <w:rPr>
                <w:rFonts w:eastAsia="Arial"/>
              </w:rPr>
              <w:t xml:space="preserve"> B</w:t>
            </w:r>
          </w:p>
          <w:p w14:paraId="2074274C" w14:textId="6BD02BD8" w:rsidR="00BB2ACC" w:rsidRPr="00D82EE3" w:rsidRDefault="00BB2ACC" w:rsidP="00D82EE3">
            <w:pPr>
              <w:rPr>
                <w:rFonts w:eastAsia="Arial"/>
                <w:b/>
              </w:rPr>
            </w:pPr>
            <w:r w:rsidRPr="00D82EE3">
              <w:rPr>
                <w:rFonts w:eastAsia="Arial"/>
                <w:b/>
              </w:rPr>
              <w:t>Notes</w:t>
            </w:r>
          </w:p>
          <w:p w14:paraId="7F380E4D" w14:textId="59784C8A" w:rsidR="00BB2ACC" w:rsidRDefault="00BB2ACC" w:rsidP="00D82EE3">
            <w:pPr>
              <w:spacing w:after="0"/>
            </w:pPr>
            <w:r w:rsidRPr="00C50E47">
              <w:rPr>
                <w:rFonts w:cs="Arial"/>
                <w:noProof/>
              </w:rPr>
              <w:drawing>
                <wp:inline distT="0" distB="0" distL="0" distR="0" wp14:anchorId="771D32A8" wp14:editId="362D3FC8">
                  <wp:extent cx="325723" cy="273050"/>
                  <wp:effectExtent l="0" t="0" r="0" b="0"/>
                  <wp:docPr id="6" name="Picture 6" descr="Cartoon Pen Stock Illustrations – 63,207 Cartoon Pen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Pen Stock Illustrations – 63,207 Cartoon Pen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31" cy="30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98EDE" w14:textId="77777777" w:rsidR="00BB2ACC" w:rsidRDefault="00BB2ACC" w:rsidP="00D82EE3">
            <w:pPr>
              <w:spacing w:after="0"/>
            </w:pPr>
          </w:p>
          <w:p w14:paraId="4C3AADE5" w14:textId="77777777" w:rsidR="00BB2ACC" w:rsidRDefault="00BB2ACC" w:rsidP="00D82EE3">
            <w:pPr>
              <w:spacing w:after="0"/>
            </w:pPr>
          </w:p>
          <w:p w14:paraId="022DFC77" w14:textId="77777777" w:rsidR="00BB2ACC" w:rsidRDefault="00BB2ACC" w:rsidP="00D82EE3">
            <w:pPr>
              <w:spacing w:after="0"/>
            </w:pPr>
          </w:p>
          <w:p w14:paraId="393B25A4" w14:textId="77777777" w:rsidR="00BB2ACC" w:rsidRDefault="00BB2ACC" w:rsidP="00D82EE3">
            <w:pPr>
              <w:spacing w:after="0"/>
            </w:pPr>
          </w:p>
          <w:p w14:paraId="4BA95C0A" w14:textId="77777777" w:rsidR="00BB2ACC" w:rsidRDefault="00BB2ACC" w:rsidP="00D82EE3">
            <w:pPr>
              <w:spacing w:after="0"/>
            </w:pPr>
          </w:p>
        </w:tc>
      </w:tr>
    </w:tbl>
    <w:p w14:paraId="587351E3" w14:textId="717A889B" w:rsidR="00B913F1" w:rsidRDefault="000C2F11" w:rsidP="00D82EE3">
      <w:r>
        <w:br w:type="page"/>
      </w:r>
    </w:p>
    <w:bookmarkEnd w:id="0"/>
    <w:bookmarkEnd w:id="1"/>
    <w:bookmarkEnd w:id="2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4AF655B5" w14:textId="350B9EE1" w:rsidR="00AF28C7" w:rsidRDefault="00AF28C7" w:rsidP="00AF28C7">
      <w:pPr>
        <w:pStyle w:val="Logos"/>
        <w:tabs>
          <w:tab w:val="right" w:pos="9498"/>
        </w:tabs>
      </w:pPr>
      <w:r>
        <w:lastRenderedPageBreak/>
        <w:tab/>
      </w:r>
      <w:r>
        <w:drawing>
          <wp:inline distT="0" distB="0" distL="0" distR="0" wp14:anchorId="0A17B7E4" wp14:editId="53F937AA">
            <wp:extent cx="1068705" cy="1080770"/>
            <wp:effectExtent l="0" t="0" r="0" b="5080"/>
            <wp:docPr id="3" name="Picture 3" descr="Standards and Testing Agency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tandards and Testing Agency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57"/>
                    <a:stretch/>
                  </pic:blipFill>
                  <pic:spPr bwMode="auto">
                    <a:xfrm>
                      <a:off x="0" y="0"/>
                      <a:ext cx="1062355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A8D85" w14:textId="12422AC5" w:rsidR="009F41B6" w:rsidRDefault="009F41B6" w:rsidP="009F41B6">
      <w:pPr>
        <w:pStyle w:val="CopyrightSpacing"/>
      </w:pPr>
      <w:r>
        <w:t xml:space="preserve">© Crown copyright </w:t>
      </w:r>
      <w:r w:rsidR="00235217">
        <w:t>2021</w:t>
      </w:r>
    </w:p>
    <w:p w14:paraId="3275F797" w14:textId="67D35F64" w:rsidR="005A4AE2" w:rsidRPr="0090521B" w:rsidRDefault="009A602D" w:rsidP="0090521B">
      <w:pPr>
        <w:pStyle w:val="CopyrightBox"/>
      </w:pPr>
      <w:r>
        <w:t xml:space="preserve">This </w:t>
      </w:r>
      <w:r w:rsidRPr="0034222D">
        <w:t xml:space="preserve">publication </w:t>
      </w:r>
      <w:r>
        <w:t xml:space="preserve">(not including logos) is licensed under the terms of the </w:t>
      </w:r>
      <w:r w:rsidRPr="0034222D">
        <w:t>Open Government Licence v</w:t>
      </w:r>
      <w:r>
        <w:t>3</w:t>
      </w:r>
      <w:r w:rsidRPr="0034222D">
        <w:t>.0</w:t>
      </w:r>
      <w:r>
        <w:t xml:space="preserve"> except where otherwise stated</w:t>
      </w:r>
      <w:r w:rsidRPr="0034222D">
        <w:t>. Where we have identified any third party copyright information you will need to obtain permission from the copyright holders concerned.</w:t>
      </w:r>
    </w:p>
    <w:p w14:paraId="72A83578" w14:textId="4D79D92B" w:rsidR="005A4AE2" w:rsidRDefault="006155C4" w:rsidP="005A4AE2">
      <w:pPr>
        <w:pStyle w:val="LicenceIntro"/>
      </w:pPr>
      <w:r>
        <w:t xml:space="preserve">To view </w:t>
      </w:r>
      <w:r w:rsidR="005A4AE2">
        <w:t>this licence:</w:t>
      </w:r>
    </w:p>
    <w:p w14:paraId="7A9FBF1D" w14:textId="740DD1A8" w:rsidR="00F96EB7" w:rsidRDefault="005A4AE2" w:rsidP="005A4AE2">
      <w:pPr>
        <w:pStyle w:val="Licence"/>
      </w:pPr>
      <w:r>
        <w:t xml:space="preserve">visit </w:t>
      </w:r>
      <w:r>
        <w:tab/>
      </w:r>
      <w:hyperlink r:id="rId14" w:tooltip="Link to National Archives website" w:history="1">
        <w:r w:rsidR="00F96EB7">
          <w:rPr>
            <w:rStyle w:val="Hyperlink"/>
            <w:rFonts w:cs="Arial"/>
          </w:rPr>
          <w:t>www.nationalarchives.gov.uk/doc/open-government-licence/version/3</w:t>
        </w:r>
      </w:hyperlink>
      <w:r w:rsidR="00F96EB7">
        <w:rPr>
          <w:rFonts w:cs="Arial"/>
        </w:rPr>
        <w:t> </w:t>
      </w:r>
    </w:p>
    <w:p w14:paraId="4A85E209" w14:textId="77777777" w:rsidR="005A4AE2" w:rsidRDefault="005A4AE2" w:rsidP="005A4AE2">
      <w:pPr>
        <w:pStyle w:val="Licence"/>
        <w:rPr>
          <w:rStyle w:val="Hyperlink"/>
        </w:rPr>
      </w:pPr>
      <w:r>
        <w:t xml:space="preserve">email </w:t>
      </w:r>
      <w:r>
        <w:tab/>
      </w:r>
      <w:hyperlink r:id="rId15" w:tooltip="The National Archives' email address" w:history="1">
        <w:r>
          <w:rPr>
            <w:rStyle w:val="Hyperlink"/>
          </w:rPr>
          <w:t>psi@nationalarchives.gsi.gov.uk</w:t>
        </w:r>
      </w:hyperlink>
    </w:p>
    <w:p w14:paraId="32FF7C29" w14:textId="597AE021" w:rsidR="009A602D" w:rsidRDefault="009A602D" w:rsidP="005A4AE2">
      <w:pPr>
        <w:pStyle w:val="Licence"/>
      </w:pPr>
      <w:r>
        <w:t>write to</w:t>
      </w:r>
      <w:r>
        <w:tab/>
        <w:t>Information Policy Team, The National Archives, Kew, London, TW9 4DU</w:t>
      </w:r>
    </w:p>
    <w:p w14:paraId="0D3D4758" w14:textId="77777777" w:rsidR="005A4AE2" w:rsidRDefault="005A4AE2" w:rsidP="005A4AE2">
      <w:pPr>
        <w:pStyle w:val="LicenceIntro"/>
      </w:pPr>
      <w:r>
        <w:t>About this publication:</w:t>
      </w:r>
    </w:p>
    <w:p w14:paraId="02E6A6CE" w14:textId="77777777" w:rsidR="005A4AE2" w:rsidRDefault="005A4AE2" w:rsidP="005A4AE2">
      <w:pPr>
        <w:pStyle w:val="Licence"/>
      </w:pPr>
      <w:proofErr w:type="gramStart"/>
      <w:r>
        <w:t>enquiries</w:t>
      </w:r>
      <w:proofErr w:type="gramEnd"/>
      <w:r>
        <w:t xml:space="preserve">  </w:t>
      </w:r>
      <w:r>
        <w:tab/>
      </w:r>
      <w:hyperlink r:id="rId16" w:tooltip="Department for Education contact us list" w:history="1">
        <w:r>
          <w:rPr>
            <w:rStyle w:val="Hyperlink"/>
          </w:rPr>
          <w:t>www.education.gov.uk/contactus</w:t>
        </w:r>
      </w:hyperlink>
      <w:r>
        <w:t xml:space="preserve"> </w:t>
      </w:r>
    </w:p>
    <w:p w14:paraId="6599EA46" w14:textId="3FA3ECFB" w:rsidR="005A4AE2" w:rsidRDefault="005A4AE2" w:rsidP="005A4AE2">
      <w:pPr>
        <w:pStyle w:val="Licence"/>
      </w:pPr>
      <w:r>
        <w:t xml:space="preserve">download </w:t>
      </w:r>
      <w:r>
        <w:tab/>
      </w:r>
      <w:hyperlink r:id="rId17" w:tooltip="Link to GOV.UK list of publications" w:history="1">
        <w:r w:rsidR="006E22B1" w:rsidRPr="00D42B65">
          <w:rPr>
            <w:rStyle w:val="Hyperlink"/>
          </w:rPr>
          <w:t>www.gov.uk/government/publications</w:t>
        </w:r>
      </w:hyperlink>
      <w:r>
        <w:t xml:space="preserve"> </w:t>
      </w:r>
    </w:p>
    <w:p w14:paraId="5CBD7D89" w14:textId="77777777" w:rsidR="005A4AE2" w:rsidRPr="007D29D3" w:rsidRDefault="005A4AE2" w:rsidP="007D29D3">
      <w:pPr>
        <w:pStyle w:val="Reference"/>
      </w:pPr>
      <w:r w:rsidRPr="007D29D3">
        <w:t xml:space="preserve">Reference: </w:t>
      </w:r>
      <w:r w:rsidRPr="007D29D3">
        <w:tab/>
        <w:t>[000-000-000]</w:t>
      </w:r>
    </w:p>
    <w:tbl>
      <w:tblPr>
        <w:tblStyle w:val="TableGrid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ocial media"/>
        <w:tblDescription w:val="Two Links to profile pages"/>
      </w:tblPr>
      <w:tblGrid>
        <w:gridCol w:w="1276"/>
        <w:gridCol w:w="2835"/>
        <w:gridCol w:w="935"/>
        <w:gridCol w:w="3459"/>
      </w:tblGrid>
      <w:tr w:rsidR="005A4AE2" w14:paraId="4C550AE2" w14:textId="77777777" w:rsidTr="005A4AE2">
        <w:trPr>
          <w:tblHeader/>
        </w:trPr>
        <w:tc>
          <w:tcPr>
            <w:tcW w:w="1276" w:type="dxa"/>
            <w:hideMark/>
          </w:tcPr>
          <w:p w14:paraId="6C85D625" w14:textId="40A3DA2B" w:rsidR="005A4AE2" w:rsidRDefault="005A4AE2">
            <w:pPr>
              <w:pStyle w:val="SocialMedia"/>
              <w:tabs>
                <w:tab w:val="clear" w:pos="4253"/>
                <w:tab w:val="left" w:pos="176"/>
              </w:tabs>
            </w:pPr>
            <w:r>
              <w:tab/>
            </w:r>
            <w:r>
              <w:drawing>
                <wp:inline distT="0" distB="0" distL="0" distR="0" wp14:anchorId="295E22B3" wp14:editId="0D3EE355">
                  <wp:extent cx="344170" cy="273050"/>
                  <wp:effectExtent l="0" t="0" r="0" b="0"/>
                  <wp:docPr id="9" name="Picture 9" descr="Twitter 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witter logo" title="Logo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14:paraId="6575406D" w14:textId="4F2EF177" w:rsidR="005A4AE2" w:rsidRDefault="006429B3">
            <w:pPr>
              <w:pStyle w:val="SocialMedia"/>
            </w:pPr>
            <w:r>
              <w:t>Follow us on T</w:t>
            </w:r>
            <w:r w:rsidR="005A4AE2">
              <w:t xml:space="preserve">witter: </w:t>
            </w:r>
            <w:hyperlink r:id="rId19" w:tooltip="View the DfE Twitter profile page" w:history="1">
              <w:r w:rsidR="005A4AE2">
                <w:rPr>
                  <w:rStyle w:val="Hyperlink"/>
                </w:rPr>
                <w:t>@educationgovuk</w:t>
              </w:r>
            </w:hyperlink>
          </w:p>
        </w:tc>
        <w:tc>
          <w:tcPr>
            <w:tcW w:w="935" w:type="dxa"/>
            <w:hideMark/>
          </w:tcPr>
          <w:p w14:paraId="5E358085" w14:textId="01F24DF5" w:rsidR="005A4AE2" w:rsidRDefault="005A4AE2">
            <w:pPr>
              <w:pStyle w:val="SocialMedia"/>
            </w:pPr>
            <w:r>
              <w:drawing>
                <wp:inline distT="0" distB="0" distL="0" distR="0" wp14:anchorId="1B65FBB4" wp14:editId="0D43ED46">
                  <wp:extent cx="273050" cy="273050"/>
                  <wp:effectExtent l="0" t="0" r="0" b="0"/>
                  <wp:docPr id="8" name="Picture 8" descr="Facebook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Facebook" title="Logo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hideMark/>
          </w:tcPr>
          <w:p w14:paraId="45904FDF" w14:textId="4D2BFB35" w:rsidR="005A4AE2" w:rsidRDefault="006429B3">
            <w:pPr>
              <w:pStyle w:val="SocialMedia"/>
            </w:pPr>
            <w:r>
              <w:t>Like us on F</w:t>
            </w:r>
            <w:r w:rsidR="005A4AE2">
              <w:t>acebook:</w:t>
            </w:r>
            <w:r w:rsidR="005A4AE2">
              <w:br/>
            </w:r>
            <w:hyperlink r:id="rId21" w:tooltip="Link the DfE on Facebook" w:history="1">
              <w:r w:rsidR="005A4AE2">
                <w:rPr>
                  <w:rStyle w:val="Hyperlink"/>
                </w:rPr>
                <w:t>facebook.com/educationgovuk</w:t>
              </w:r>
            </w:hyperlink>
          </w:p>
        </w:tc>
      </w:tr>
    </w:tbl>
    <w:p w14:paraId="451E048F" w14:textId="77777777" w:rsidR="009F41B6" w:rsidRDefault="009F41B6" w:rsidP="0090521B">
      <w:pPr>
        <w:pStyle w:val="CopyrightBox"/>
      </w:pPr>
    </w:p>
    <w:sectPr w:rsidR="009F41B6" w:rsidSect="00EA32B8">
      <w:footerReference w:type="default" r:id="rId22"/>
      <w:headerReference w:type="first" r:id="rId23"/>
      <w:type w:val="continuous"/>
      <w:pgSz w:w="11906" w:h="16838"/>
      <w:pgMar w:top="1134" w:right="1276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DA30" w14:textId="77777777" w:rsidR="00B424E1" w:rsidRDefault="00B424E1" w:rsidP="009F41B6">
      <w:r>
        <w:separator/>
      </w:r>
    </w:p>
    <w:p w14:paraId="518A2D51" w14:textId="77777777" w:rsidR="00B424E1" w:rsidRDefault="00B424E1" w:rsidP="009F41B6"/>
  </w:endnote>
  <w:endnote w:type="continuationSeparator" w:id="0">
    <w:p w14:paraId="44FEF9E9" w14:textId="77777777" w:rsidR="00B424E1" w:rsidRDefault="00B424E1" w:rsidP="009F41B6">
      <w:r>
        <w:continuationSeparator/>
      </w:r>
    </w:p>
    <w:p w14:paraId="04C62ACD" w14:textId="77777777" w:rsidR="00B424E1" w:rsidRDefault="00B424E1" w:rsidP="009F41B6"/>
  </w:endnote>
  <w:endnote w:type="continuationNotice" w:id="1">
    <w:p w14:paraId="4F8328AA" w14:textId="77777777" w:rsidR="00B424E1" w:rsidRDefault="00B424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C50FD" w14:textId="520D80A5" w:rsidR="00D21B4A" w:rsidRDefault="00D21B4A" w:rsidP="005A65F5">
        <w:pPr>
          <w:pStyle w:val="Footer"/>
          <w:ind w:firstLine="451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C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57E98" w14:textId="77777777" w:rsidR="00B424E1" w:rsidRDefault="00B424E1" w:rsidP="009F41B6">
      <w:r>
        <w:separator/>
      </w:r>
    </w:p>
    <w:p w14:paraId="05D684E2" w14:textId="77777777" w:rsidR="00B424E1" w:rsidRDefault="00B424E1" w:rsidP="009F41B6"/>
  </w:footnote>
  <w:footnote w:type="continuationSeparator" w:id="0">
    <w:p w14:paraId="55EE0B01" w14:textId="77777777" w:rsidR="00B424E1" w:rsidRDefault="00B424E1" w:rsidP="009F41B6">
      <w:r>
        <w:continuationSeparator/>
      </w:r>
    </w:p>
    <w:p w14:paraId="2829117D" w14:textId="77777777" w:rsidR="00B424E1" w:rsidRDefault="00B424E1" w:rsidP="009F41B6"/>
  </w:footnote>
  <w:footnote w:type="continuationNotice" w:id="1">
    <w:p w14:paraId="29573E07" w14:textId="77777777" w:rsidR="00B424E1" w:rsidRDefault="00B424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2CCDB" w14:textId="710F02D0" w:rsidR="001D39DA" w:rsidRDefault="001D39DA">
    <w:pPr>
      <w:pStyle w:val="Header"/>
    </w:pPr>
    <w:r>
      <w:rPr>
        <w:noProof/>
      </w:rPr>
      <w:drawing>
        <wp:inline distT="0" distB="0" distL="0" distR="0" wp14:anchorId="67EBD91A" wp14:editId="5DF4A345">
          <wp:extent cx="1068705" cy="1080770"/>
          <wp:effectExtent l="0" t="0" r="0" b="5080"/>
          <wp:docPr id="5" name="Picture 5" descr="Standards and Testing Agency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tandards and Testing Agency" title="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57"/>
                  <a:stretch/>
                </pic:blipFill>
                <pic:spPr bwMode="auto">
                  <a:xfrm>
                    <a:off x="0" y="0"/>
                    <a:ext cx="1062355" cy="1075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CB40C6" w14:textId="77777777" w:rsidR="001D39DA" w:rsidRDefault="001D3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artoon Pen Stock Illustrations – 63,207 Cartoon Pen Stock Illustrations,  Vectors &amp;amp; Clipart - Dreamstime" style="width:20.4pt;height:15.6pt;visibility:visible;mso-wrap-style:square" o:bullet="t">
        <v:imagedata r:id="rId1" o:title="Cartoon Pen Stock Illustrations – 63,207 Cartoon Pen Stock Illustrations,  Vectors &amp;amp; Clipart - Dreamstime"/>
      </v:shape>
    </w:pict>
  </w:numPicBullet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184EB9"/>
    <w:multiLevelType w:val="multilevel"/>
    <w:tmpl w:val="B02AAE0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8C061CA"/>
    <w:multiLevelType w:val="hybridMultilevel"/>
    <w:tmpl w:val="7F5C6608"/>
    <w:lvl w:ilvl="0" w:tplc="0B4E183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D62E05"/>
    <w:multiLevelType w:val="hybridMultilevel"/>
    <w:tmpl w:val="763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927DE"/>
    <w:multiLevelType w:val="multilevel"/>
    <w:tmpl w:val="EEDC13A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F18263E"/>
    <w:multiLevelType w:val="hybridMultilevel"/>
    <w:tmpl w:val="0EF2AF98"/>
    <w:lvl w:ilvl="0" w:tplc="0B4E183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1F426B"/>
    <w:multiLevelType w:val="hybridMultilevel"/>
    <w:tmpl w:val="AD82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7152B"/>
    <w:multiLevelType w:val="hybridMultilevel"/>
    <w:tmpl w:val="7A022ED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05B376C"/>
    <w:multiLevelType w:val="hybridMultilevel"/>
    <w:tmpl w:val="2624891E"/>
    <w:lvl w:ilvl="0" w:tplc="33C8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AA90CA8"/>
    <w:multiLevelType w:val="hybridMultilevel"/>
    <w:tmpl w:val="92AA1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653E1"/>
    <w:multiLevelType w:val="hybridMultilevel"/>
    <w:tmpl w:val="60CE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62558"/>
    <w:multiLevelType w:val="hybridMultilevel"/>
    <w:tmpl w:val="C19630A6"/>
    <w:lvl w:ilvl="0" w:tplc="35B0007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5D6A60"/>
    <w:multiLevelType w:val="hybridMultilevel"/>
    <w:tmpl w:val="63A6319E"/>
    <w:lvl w:ilvl="0" w:tplc="9D42683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BE2452"/>
    <w:multiLevelType w:val="hybridMultilevel"/>
    <w:tmpl w:val="1304C6D4"/>
    <w:lvl w:ilvl="0" w:tplc="F08A90E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70EE7"/>
    <w:multiLevelType w:val="hybridMultilevel"/>
    <w:tmpl w:val="EA986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96B765F"/>
    <w:multiLevelType w:val="multilevel"/>
    <w:tmpl w:val="763C7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D0D0D" w:themeColor="text1" w:themeTint="F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B756C"/>
    <w:multiLevelType w:val="hybridMultilevel"/>
    <w:tmpl w:val="1140053C"/>
    <w:lvl w:ilvl="0" w:tplc="1DB29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C5240"/>
    <w:multiLevelType w:val="multilevel"/>
    <w:tmpl w:val="6F44E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7"/>
  </w:num>
  <w:num w:numId="4">
    <w:abstractNumId w:val="0"/>
  </w:num>
  <w:num w:numId="5">
    <w:abstractNumId w:val="17"/>
  </w:num>
  <w:num w:numId="6">
    <w:abstractNumId w:val="6"/>
  </w:num>
  <w:num w:numId="7">
    <w:abstractNumId w:val="19"/>
  </w:num>
  <w:num w:numId="8">
    <w:abstractNumId w:val="20"/>
  </w:num>
  <w:num w:numId="9">
    <w:abstractNumId w:val="2"/>
  </w:num>
  <w:num w:numId="10">
    <w:abstractNumId w:val="1"/>
  </w:num>
  <w:num w:numId="11">
    <w:abstractNumId w:val="15"/>
  </w:num>
  <w:num w:numId="12">
    <w:abstractNumId w:val="29"/>
  </w:num>
  <w:num w:numId="13">
    <w:abstractNumId w:val="3"/>
  </w:num>
  <w:num w:numId="14">
    <w:abstractNumId w:val="12"/>
  </w:num>
  <w:num w:numId="15">
    <w:abstractNumId w:val="2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10"/>
  </w:num>
  <w:num w:numId="20">
    <w:abstractNumId w:val="25"/>
  </w:num>
  <w:num w:numId="21">
    <w:abstractNumId w:val="20"/>
  </w:num>
  <w:num w:numId="22">
    <w:abstractNumId w:val="24"/>
  </w:num>
  <w:num w:numId="23">
    <w:abstractNumId w:val="20"/>
  </w:num>
  <w:num w:numId="24">
    <w:abstractNumId w:val="8"/>
  </w:num>
  <w:num w:numId="25">
    <w:abstractNumId w:val="16"/>
  </w:num>
  <w:num w:numId="26">
    <w:abstractNumId w:val="28"/>
  </w:num>
  <w:num w:numId="27">
    <w:abstractNumId w:val="9"/>
  </w:num>
  <w:num w:numId="28">
    <w:abstractNumId w:val="10"/>
  </w:num>
  <w:num w:numId="29">
    <w:abstractNumId w:val="23"/>
  </w:num>
  <w:num w:numId="30">
    <w:abstractNumId w:val="20"/>
  </w:num>
  <w:num w:numId="31">
    <w:abstractNumId w:val="30"/>
  </w:num>
  <w:num w:numId="32">
    <w:abstractNumId w:val="18"/>
  </w:num>
  <w:num w:numId="33">
    <w:abstractNumId w:val="22"/>
  </w:num>
  <w:num w:numId="34">
    <w:abstractNumId w:val="11"/>
  </w:num>
  <w:num w:numId="35">
    <w:abstractNumId w:val="13"/>
  </w:num>
  <w:num w:numId="36">
    <w:abstractNumId w:val="5"/>
  </w:num>
  <w:num w:numId="37">
    <w:abstractNumId w:val="14"/>
  </w:num>
  <w:num w:numId="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11A88"/>
    <w:rsid w:val="00013A6E"/>
    <w:rsid w:val="0002203B"/>
    <w:rsid w:val="00023913"/>
    <w:rsid w:val="00030ABD"/>
    <w:rsid w:val="0003121C"/>
    <w:rsid w:val="00031F36"/>
    <w:rsid w:val="000442BD"/>
    <w:rsid w:val="00051E2E"/>
    <w:rsid w:val="00051E82"/>
    <w:rsid w:val="00053503"/>
    <w:rsid w:val="00057100"/>
    <w:rsid w:val="00066B1C"/>
    <w:rsid w:val="00070E0A"/>
    <w:rsid w:val="0007258F"/>
    <w:rsid w:val="00074179"/>
    <w:rsid w:val="00083A73"/>
    <w:rsid w:val="00086D48"/>
    <w:rsid w:val="00095901"/>
    <w:rsid w:val="000A10F4"/>
    <w:rsid w:val="000B3DE0"/>
    <w:rsid w:val="000B4A3E"/>
    <w:rsid w:val="000C2F11"/>
    <w:rsid w:val="000D1D30"/>
    <w:rsid w:val="000D4433"/>
    <w:rsid w:val="000D5697"/>
    <w:rsid w:val="000E3350"/>
    <w:rsid w:val="000E5A8D"/>
    <w:rsid w:val="000F1A98"/>
    <w:rsid w:val="000F22D0"/>
    <w:rsid w:val="000F73F3"/>
    <w:rsid w:val="00103E77"/>
    <w:rsid w:val="00113E8C"/>
    <w:rsid w:val="0011494F"/>
    <w:rsid w:val="00121C6C"/>
    <w:rsid w:val="001321D2"/>
    <w:rsid w:val="00133075"/>
    <w:rsid w:val="001438CE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90C3A"/>
    <w:rsid w:val="0019630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D09EC"/>
    <w:rsid w:val="001D39DA"/>
    <w:rsid w:val="001D5770"/>
    <w:rsid w:val="001E3581"/>
    <w:rsid w:val="00203ACA"/>
    <w:rsid w:val="00203EC9"/>
    <w:rsid w:val="00210E6D"/>
    <w:rsid w:val="002113CF"/>
    <w:rsid w:val="00214378"/>
    <w:rsid w:val="00214713"/>
    <w:rsid w:val="0022255C"/>
    <w:rsid w:val="0022489D"/>
    <w:rsid w:val="002262F3"/>
    <w:rsid w:val="00230559"/>
    <w:rsid w:val="002332F8"/>
    <w:rsid w:val="00234F75"/>
    <w:rsid w:val="00235217"/>
    <w:rsid w:val="00240F4B"/>
    <w:rsid w:val="002575C5"/>
    <w:rsid w:val="002634E2"/>
    <w:rsid w:val="0027230F"/>
    <w:rsid w:val="0027252F"/>
    <w:rsid w:val="00273718"/>
    <w:rsid w:val="002839B5"/>
    <w:rsid w:val="0028534E"/>
    <w:rsid w:val="00287788"/>
    <w:rsid w:val="00292DED"/>
    <w:rsid w:val="002A28F7"/>
    <w:rsid w:val="002A3153"/>
    <w:rsid w:val="002B2775"/>
    <w:rsid w:val="002C3AA4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154AC"/>
    <w:rsid w:val="00316DD9"/>
    <w:rsid w:val="00323776"/>
    <w:rsid w:val="00325D84"/>
    <w:rsid w:val="0034222D"/>
    <w:rsid w:val="00361752"/>
    <w:rsid w:val="00361FE6"/>
    <w:rsid w:val="00363275"/>
    <w:rsid w:val="00374981"/>
    <w:rsid w:val="003810D8"/>
    <w:rsid w:val="003853A4"/>
    <w:rsid w:val="003A01C4"/>
    <w:rsid w:val="003A1CC2"/>
    <w:rsid w:val="003B5D5D"/>
    <w:rsid w:val="003C60B5"/>
    <w:rsid w:val="003D1EFE"/>
    <w:rsid w:val="003D764C"/>
    <w:rsid w:val="003E129B"/>
    <w:rsid w:val="003E1329"/>
    <w:rsid w:val="003E4B03"/>
    <w:rsid w:val="003F63E0"/>
    <w:rsid w:val="003F751E"/>
    <w:rsid w:val="00407032"/>
    <w:rsid w:val="00416220"/>
    <w:rsid w:val="00421F3D"/>
    <w:rsid w:val="004242C5"/>
    <w:rsid w:val="00424503"/>
    <w:rsid w:val="0043261E"/>
    <w:rsid w:val="004339FB"/>
    <w:rsid w:val="00445E79"/>
    <w:rsid w:val="004509BE"/>
    <w:rsid w:val="004572EE"/>
    <w:rsid w:val="00467BC5"/>
    <w:rsid w:val="00470223"/>
    <w:rsid w:val="00471FEE"/>
    <w:rsid w:val="004726CF"/>
    <w:rsid w:val="004866AD"/>
    <w:rsid w:val="004A25DF"/>
    <w:rsid w:val="004B19E5"/>
    <w:rsid w:val="004B4394"/>
    <w:rsid w:val="004B6B92"/>
    <w:rsid w:val="004D0B5A"/>
    <w:rsid w:val="004D13A3"/>
    <w:rsid w:val="004E6CD9"/>
    <w:rsid w:val="004F20E3"/>
    <w:rsid w:val="004F211A"/>
    <w:rsid w:val="004F3159"/>
    <w:rsid w:val="004F49E2"/>
    <w:rsid w:val="004F4AEF"/>
    <w:rsid w:val="004F70A9"/>
    <w:rsid w:val="004F776E"/>
    <w:rsid w:val="0052566B"/>
    <w:rsid w:val="00536E0B"/>
    <w:rsid w:val="00550E2B"/>
    <w:rsid w:val="005535E5"/>
    <w:rsid w:val="00553E4E"/>
    <w:rsid w:val="005552BF"/>
    <w:rsid w:val="00560451"/>
    <w:rsid w:val="00562261"/>
    <w:rsid w:val="0056283E"/>
    <w:rsid w:val="00566C31"/>
    <w:rsid w:val="0057250B"/>
    <w:rsid w:val="00574294"/>
    <w:rsid w:val="005749C5"/>
    <w:rsid w:val="0057670A"/>
    <w:rsid w:val="00581D79"/>
    <w:rsid w:val="00585490"/>
    <w:rsid w:val="005905B1"/>
    <w:rsid w:val="005914F1"/>
    <w:rsid w:val="0059494A"/>
    <w:rsid w:val="005A07FF"/>
    <w:rsid w:val="005A4AE2"/>
    <w:rsid w:val="005A508C"/>
    <w:rsid w:val="005A65F5"/>
    <w:rsid w:val="005A67AA"/>
    <w:rsid w:val="005A6DE5"/>
    <w:rsid w:val="005A7D82"/>
    <w:rsid w:val="005B1536"/>
    <w:rsid w:val="005B2FD4"/>
    <w:rsid w:val="005C0B41"/>
    <w:rsid w:val="005C1447"/>
    <w:rsid w:val="005C1770"/>
    <w:rsid w:val="005C2466"/>
    <w:rsid w:val="005C6416"/>
    <w:rsid w:val="005C657D"/>
    <w:rsid w:val="005D05CE"/>
    <w:rsid w:val="005D252F"/>
    <w:rsid w:val="005D34D7"/>
    <w:rsid w:val="005D380A"/>
    <w:rsid w:val="005D415A"/>
    <w:rsid w:val="005E3379"/>
    <w:rsid w:val="005F107C"/>
    <w:rsid w:val="00602008"/>
    <w:rsid w:val="0060702F"/>
    <w:rsid w:val="006108B3"/>
    <w:rsid w:val="00611F91"/>
    <w:rsid w:val="006155C4"/>
    <w:rsid w:val="006237FB"/>
    <w:rsid w:val="006248B1"/>
    <w:rsid w:val="00626DD2"/>
    <w:rsid w:val="00633E4E"/>
    <w:rsid w:val="00635D57"/>
    <w:rsid w:val="006418B2"/>
    <w:rsid w:val="00642404"/>
    <w:rsid w:val="006429B3"/>
    <w:rsid w:val="00647EFA"/>
    <w:rsid w:val="00652973"/>
    <w:rsid w:val="006558CA"/>
    <w:rsid w:val="00657E79"/>
    <w:rsid w:val="006606F5"/>
    <w:rsid w:val="0067185E"/>
    <w:rsid w:val="00671B64"/>
    <w:rsid w:val="00671D5B"/>
    <w:rsid w:val="006775FA"/>
    <w:rsid w:val="006814D7"/>
    <w:rsid w:val="0068544D"/>
    <w:rsid w:val="00695D08"/>
    <w:rsid w:val="006A27AA"/>
    <w:rsid w:val="006A3602"/>
    <w:rsid w:val="006B1F9F"/>
    <w:rsid w:val="006C382D"/>
    <w:rsid w:val="006D1162"/>
    <w:rsid w:val="006D67EB"/>
    <w:rsid w:val="006E22B1"/>
    <w:rsid w:val="006E2415"/>
    <w:rsid w:val="006E7F39"/>
    <w:rsid w:val="006F1F96"/>
    <w:rsid w:val="006F6DC9"/>
    <w:rsid w:val="00700337"/>
    <w:rsid w:val="00700B01"/>
    <w:rsid w:val="00702EBF"/>
    <w:rsid w:val="00713414"/>
    <w:rsid w:val="00715880"/>
    <w:rsid w:val="00730350"/>
    <w:rsid w:val="00730EF3"/>
    <w:rsid w:val="0073516C"/>
    <w:rsid w:val="00735F90"/>
    <w:rsid w:val="007403F5"/>
    <w:rsid w:val="007426B3"/>
    <w:rsid w:val="00743353"/>
    <w:rsid w:val="00745C9F"/>
    <w:rsid w:val="00747CD7"/>
    <w:rsid w:val="0075096B"/>
    <w:rsid w:val="00751648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D2C"/>
    <w:rsid w:val="00794F29"/>
    <w:rsid w:val="007A0750"/>
    <w:rsid w:val="007A1326"/>
    <w:rsid w:val="007A2250"/>
    <w:rsid w:val="007A5759"/>
    <w:rsid w:val="007B3CFE"/>
    <w:rsid w:val="007B760D"/>
    <w:rsid w:val="007C321D"/>
    <w:rsid w:val="007C41A5"/>
    <w:rsid w:val="007C58BE"/>
    <w:rsid w:val="007C7EEE"/>
    <w:rsid w:val="007D0537"/>
    <w:rsid w:val="007D080B"/>
    <w:rsid w:val="007D29D3"/>
    <w:rsid w:val="007E06DD"/>
    <w:rsid w:val="007E35BC"/>
    <w:rsid w:val="007F1ACB"/>
    <w:rsid w:val="007F670A"/>
    <w:rsid w:val="007F7235"/>
    <w:rsid w:val="00814D1A"/>
    <w:rsid w:val="008168A2"/>
    <w:rsid w:val="00816E77"/>
    <w:rsid w:val="0081799D"/>
    <w:rsid w:val="00821CD3"/>
    <w:rsid w:val="00824E92"/>
    <w:rsid w:val="00827FF1"/>
    <w:rsid w:val="00831263"/>
    <w:rsid w:val="00831DB7"/>
    <w:rsid w:val="00832EBF"/>
    <w:rsid w:val="008366CB"/>
    <w:rsid w:val="00837F3A"/>
    <w:rsid w:val="008419B8"/>
    <w:rsid w:val="008515CE"/>
    <w:rsid w:val="008620F3"/>
    <w:rsid w:val="00863986"/>
    <w:rsid w:val="00866257"/>
    <w:rsid w:val="00874F24"/>
    <w:rsid w:val="00876230"/>
    <w:rsid w:val="00877D5B"/>
    <w:rsid w:val="00877ECD"/>
    <w:rsid w:val="00886B1E"/>
    <w:rsid w:val="0089094C"/>
    <w:rsid w:val="0089382E"/>
    <w:rsid w:val="008A4179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C46DC"/>
    <w:rsid w:val="008D15AA"/>
    <w:rsid w:val="008D6968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521B"/>
    <w:rsid w:val="009055E4"/>
    <w:rsid w:val="00917E9C"/>
    <w:rsid w:val="0092379D"/>
    <w:rsid w:val="00924E3D"/>
    <w:rsid w:val="00925160"/>
    <w:rsid w:val="0092542E"/>
    <w:rsid w:val="00947E49"/>
    <w:rsid w:val="00951C56"/>
    <w:rsid w:val="00955907"/>
    <w:rsid w:val="0095599F"/>
    <w:rsid w:val="00956CF7"/>
    <w:rsid w:val="0096424B"/>
    <w:rsid w:val="009716FA"/>
    <w:rsid w:val="00984AA8"/>
    <w:rsid w:val="00985088"/>
    <w:rsid w:val="0098648B"/>
    <w:rsid w:val="009A244C"/>
    <w:rsid w:val="009A602D"/>
    <w:rsid w:val="009B0DAA"/>
    <w:rsid w:val="009B32FA"/>
    <w:rsid w:val="009C13DC"/>
    <w:rsid w:val="009C73CF"/>
    <w:rsid w:val="009C7FB2"/>
    <w:rsid w:val="009D24C3"/>
    <w:rsid w:val="009E00AE"/>
    <w:rsid w:val="009E09D3"/>
    <w:rsid w:val="009E6E74"/>
    <w:rsid w:val="009F41B6"/>
    <w:rsid w:val="00A01CAC"/>
    <w:rsid w:val="00A0665A"/>
    <w:rsid w:val="00A15FD8"/>
    <w:rsid w:val="00A26E6A"/>
    <w:rsid w:val="00A30BA1"/>
    <w:rsid w:val="00A37DEE"/>
    <w:rsid w:val="00A433C3"/>
    <w:rsid w:val="00A50806"/>
    <w:rsid w:val="00A54BB7"/>
    <w:rsid w:val="00A5643A"/>
    <w:rsid w:val="00A5723C"/>
    <w:rsid w:val="00A60D43"/>
    <w:rsid w:val="00A66499"/>
    <w:rsid w:val="00A707A4"/>
    <w:rsid w:val="00A7274B"/>
    <w:rsid w:val="00A73FB8"/>
    <w:rsid w:val="00A763CB"/>
    <w:rsid w:val="00A772FF"/>
    <w:rsid w:val="00A801D1"/>
    <w:rsid w:val="00A81F69"/>
    <w:rsid w:val="00A91CB0"/>
    <w:rsid w:val="00A93FC0"/>
    <w:rsid w:val="00A95D3F"/>
    <w:rsid w:val="00AA000B"/>
    <w:rsid w:val="00AA3484"/>
    <w:rsid w:val="00AA7E7B"/>
    <w:rsid w:val="00AB1AF9"/>
    <w:rsid w:val="00AB6D0F"/>
    <w:rsid w:val="00AB7858"/>
    <w:rsid w:val="00AC1AC1"/>
    <w:rsid w:val="00AC61A6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1029F"/>
    <w:rsid w:val="00B3498C"/>
    <w:rsid w:val="00B34F49"/>
    <w:rsid w:val="00B35EEF"/>
    <w:rsid w:val="00B424E1"/>
    <w:rsid w:val="00B43CAD"/>
    <w:rsid w:val="00B51536"/>
    <w:rsid w:val="00B55A49"/>
    <w:rsid w:val="00B55B44"/>
    <w:rsid w:val="00B64265"/>
    <w:rsid w:val="00B67F76"/>
    <w:rsid w:val="00B70EFF"/>
    <w:rsid w:val="00B7558C"/>
    <w:rsid w:val="00B815E6"/>
    <w:rsid w:val="00B85794"/>
    <w:rsid w:val="00B913F1"/>
    <w:rsid w:val="00B9194F"/>
    <w:rsid w:val="00BA003B"/>
    <w:rsid w:val="00BA2625"/>
    <w:rsid w:val="00BB05E2"/>
    <w:rsid w:val="00BB2ACC"/>
    <w:rsid w:val="00BB7C04"/>
    <w:rsid w:val="00BD1111"/>
    <w:rsid w:val="00BD26B6"/>
    <w:rsid w:val="00BD6A6B"/>
    <w:rsid w:val="00BD7DF4"/>
    <w:rsid w:val="00BE01C6"/>
    <w:rsid w:val="00BE22B3"/>
    <w:rsid w:val="00BE4DAC"/>
    <w:rsid w:val="00BF13F8"/>
    <w:rsid w:val="00BF68F1"/>
    <w:rsid w:val="00C01CFF"/>
    <w:rsid w:val="00C02C7D"/>
    <w:rsid w:val="00C073B9"/>
    <w:rsid w:val="00C1494D"/>
    <w:rsid w:val="00C15B78"/>
    <w:rsid w:val="00C2207B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8124F"/>
    <w:rsid w:val="00C81513"/>
    <w:rsid w:val="00C84637"/>
    <w:rsid w:val="00C9157E"/>
    <w:rsid w:val="00C92AD3"/>
    <w:rsid w:val="00C93999"/>
    <w:rsid w:val="00CA1009"/>
    <w:rsid w:val="00CA30B4"/>
    <w:rsid w:val="00CA4180"/>
    <w:rsid w:val="00CA72FC"/>
    <w:rsid w:val="00CB56F5"/>
    <w:rsid w:val="00CB6E04"/>
    <w:rsid w:val="00CC2512"/>
    <w:rsid w:val="00CC4C58"/>
    <w:rsid w:val="00CC547F"/>
    <w:rsid w:val="00CD5D21"/>
    <w:rsid w:val="00CE0E9F"/>
    <w:rsid w:val="00CE2CFC"/>
    <w:rsid w:val="00CE40D7"/>
    <w:rsid w:val="00CE5F52"/>
    <w:rsid w:val="00CE7906"/>
    <w:rsid w:val="00CF0E19"/>
    <w:rsid w:val="00D05342"/>
    <w:rsid w:val="00D21B4A"/>
    <w:rsid w:val="00D22918"/>
    <w:rsid w:val="00D23E98"/>
    <w:rsid w:val="00D27D9B"/>
    <w:rsid w:val="00D376DB"/>
    <w:rsid w:val="00D40DE9"/>
    <w:rsid w:val="00D41212"/>
    <w:rsid w:val="00D42B45"/>
    <w:rsid w:val="00D54F88"/>
    <w:rsid w:val="00D55BDC"/>
    <w:rsid w:val="00D57CFC"/>
    <w:rsid w:val="00D64A19"/>
    <w:rsid w:val="00D660A1"/>
    <w:rsid w:val="00D66FFC"/>
    <w:rsid w:val="00D71F30"/>
    <w:rsid w:val="00D736C0"/>
    <w:rsid w:val="00D82EE3"/>
    <w:rsid w:val="00D92274"/>
    <w:rsid w:val="00D94339"/>
    <w:rsid w:val="00D9707F"/>
    <w:rsid w:val="00DA1F8E"/>
    <w:rsid w:val="00DA57A4"/>
    <w:rsid w:val="00DB0D07"/>
    <w:rsid w:val="00DC0350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10CC1"/>
    <w:rsid w:val="00E1702C"/>
    <w:rsid w:val="00E2257D"/>
    <w:rsid w:val="00E22EE8"/>
    <w:rsid w:val="00E23ABB"/>
    <w:rsid w:val="00E23E99"/>
    <w:rsid w:val="00E3093A"/>
    <w:rsid w:val="00E33078"/>
    <w:rsid w:val="00E335AB"/>
    <w:rsid w:val="00E33AB6"/>
    <w:rsid w:val="00E35C31"/>
    <w:rsid w:val="00E4012C"/>
    <w:rsid w:val="00E42A8F"/>
    <w:rsid w:val="00E50AA2"/>
    <w:rsid w:val="00E5223F"/>
    <w:rsid w:val="00E57859"/>
    <w:rsid w:val="00E6185D"/>
    <w:rsid w:val="00E66B4F"/>
    <w:rsid w:val="00E741D5"/>
    <w:rsid w:val="00E74474"/>
    <w:rsid w:val="00E87A6A"/>
    <w:rsid w:val="00E9232A"/>
    <w:rsid w:val="00EA32B8"/>
    <w:rsid w:val="00EA4D1B"/>
    <w:rsid w:val="00EB1D11"/>
    <w:rsid w:val="00EB281B"/>
    <w:rsid w:val="00EC1C50"/>
    <w:rsid w:val="00ED3D05"/>
    <w:rsid w:val="00ED5025"/>
    <w:rsid w:val="00EE5713"/>
    <w:rsid w:val="00EE64AE"/>
    <w:rsid w:val="00EE715F"/>
    <w:rsid w:val="00F06445"/>
    <w:rsid w:val="00F07114"/>
    <w:rsid w:val="00F206A7"/>
    <w:rsid w:val="00F3105E"/>
    <w:rsid w:val="00F31AAB"/>
    <w:rsid w:val="00F41591"/>
    <w:rsid w:val="00F41A63"/>
    <w:rsid w:val="00F45BEB"/>
    <w:rsid w:val="00F47B3B"/>
    <w:rsid w:val="00F54523"/>
    <w:rsid w:val="00F70793"/>
    <w:rsid w:val="00F84544"/>
    <w:rsid w:val="00F90552"/>
    <w:rsid w:val="00F908B7"/>
    <w:rsid w:val="00F954FA"/>
    <w:rsid w:val="00F95B1F"/>
    <w:rsid w:val="00F96EB7"/>
    <w:rsid w:val="00FA05B2"/>
    <w:rsid w:val="00FA0889"/>
    <w:rsid w:val="00FA1E17"/>
    <w:rsid w:val="00FA68A7"/>
    <w:rsid w:val="00FB12FD"/>
    <w:rsid w:val="00FC0C51"/>
    <w:rsid w:val="00FC3903"/>
    <w:rsid w:val="00FC6848"/>
    <w:rsid w:val="00FD093F"/>
    <w:rsid w:val="00FE1B8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0BC8C367-E836-4D93-A270-383D7C3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35C31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6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qFormat/>
    <w:rsid w:val="00984AA8"/>
    <w:pPr>
      <w:numPr>
        <w:numId w:val="25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90521B"/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9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10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2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3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styleId="NoSpacing">
    <w:name w:val="No Spacing"/>
    <w:uiPriority w:val="1"/>
    <w:qFormat/>
    <w:rsid w:val="00D22918"/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educationgovuk" TargetMode="Externa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://www.gov.uk/government/publication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gov.uk/contactus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si@nationalarchives.gsi.gov.uk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twitter.com/educationgov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ationalarchives.gov.uk/doc/open-government-licence/version/3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F409F760CB24AA0F82FB44A9D3BE8" ma:contentTypeVersion="4" ma:contentTypeDescription="Create a new document." ma:contentTypeScope="" ma:versionID="57fce6e1002c6812e18635ba1cd7118c">
  <xsd:schema xmlns:xsd="http://www.w3.org/2001/XMLSchema" xmlns:xs="http://www.w3.org/2001/XMLSchema" xmlns:p="http://schemas.microsoft.com/office/2006/metadata/properties" xmlns:ns2="96207ad8-214a-4a0c-8123-b4895f778a8d" targetNamespace="http://schemas.microsoft.com/office/2006/metadata/properties" ma:root="true" ma:fieldsID="9632ff259f22e86ebc56f493685228c2" ns2:_="">
    <xsd:import namespace="96207ad8-214a-4a0c-8123-b4895f778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07ad8-214a-4a0c-8123-b4895f778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B8B2-0D4C-4586-8F37-4A8E905EF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07ad8-214a-4a0c-8123-b4895f778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3E9D6C-8F38-4188-9AFE-93A28B54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Department for Education</Company>
  <LinksUpToDate>false</LinksUpToDate>
  <CharactersWithSpaces>3607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dc:description>Master-ET-v3.8</dc:description>
  <cp:lastModifiedBy>Tetiana Hallam</cp:lastModifiedBy>
  <cp:revision>2</cp:revision>
  <cp:lastPrinted>2014-09-17T13:26:00Z</cp:lastPrinted>
  <dcterms:created xsi:type="dcterms:W3CDTF">2021-11-18T11:04:00Z</dcterms:created>
  <dcterms:modified xsi:type="dcterms:W3CDTF">2021-11-18T11:04:00Z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0x0101006A5F409F760CB24AA0F82FB44A9D3BE8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61b7d67f-9c76-4917-ac58-41c8ef9c205d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Site">
    <vt:lpwstr>22;#Communic​ati​ons|60b3cc5e-d979-4a7a-b73d-c058e341a548</vt:lpwstr>
  </property>
  <property fmtid="{D5CDD505-2E9C-101B-9397-08002B2CF9AE}" pid="10" name="n92a7dad66d94949bb09960a07b94c3d">
    <vt:lpwstr>DfE|cc08a6d4-dfde-4d0f-bd85-069ebcef80d5</vt:lpwstr>
  </property>
  <property fmtid="{D5CDD505-2E9C-101B-9397-08002B2CF9AE}" pid="11" name="h5181134883947a99a38d116ffff0006">
    <vt:lpwstr/>
  </property>
  <property fmtid="{D5CDD505-2E9C-101B-9397-08002B2CF9AE}" pid="12" name="n2ebf149814b4534b3164792dac80f45">
    <vt:lpwstr/>
  </property>
  <property fmtid="{D5CDD505-2E9C-101B-9397-08002B2CF9AE}" pid="13" name="h5181134883947a99a38d116ffff0102">
    <vt:lpwstr>DfE|a484111e-5b24-4ad9-9778-c536c8c88985</vt:lpwstr>
  </property>
  <property fmtid="{D5CDD505-2E9C-101B-9397-08002B2CF9AE}" pid="14" name="be684b6d38c646ecb66731dc4ef69f0b">
    <vt:lpwstr/>
  </property>
  <property fmtid="{D5CDD505-2E9C-101B-9397-08002B2CF9AE}" pid="15" name="eed43772095046c587179e69bceabea1">
    <vt:lpwstr>Official|0884c477-2e62-47ea-b19c-5af6e91124c5</vt:lpwstr>
  </property>
  <property fmtid="{D5CDD505-2E9C-101B-9397-08002B2CF9AE}" pid="16" name="IWPOrganisationalUnit">
    <vt:lpwstr>5;#DfE|cc08a6d4-dfde-4d0f-bd85-069ebcef80d5</vt:lpwstr>
  </property>
  <property fmtid="{D5CDD505-2E9C-101B-9397-08002B2CF9AE}" pid="17" name="IWPOwner">
    <vt:lpwstr>4;#DfE|a484111e-5b24-4ad9-9778-c536c8c88985</vt:lpwstr>
  </property>
  <property fmtid="{D5CDD505-2E9C-101B-9397-08002B2CF9AE}" pid="18" name="IWPRightsProtectiveMarking">
    <vt:lpwstr>1;#Official|0884c477-2e62-47ea-b19c-5af6e91124c5</vt:lpwstr>
  </property>
  <property fmtid="{D5CDD505-2E9C-101B-9397-08002B2CF9AE}" pid="19" name="DfeOrganisationalUnit">
    <vt:lpwstr>5;#DfE|cc08a6d4-dfde-4d0f-bd85-069ebcef80d5</vt:lpwstr>
  </property>
  <property fmtid="{D5CDD505-2E9C-101B-9397-08002B2CF9AE}" pid="20" name="DfeRights:ProtectiveMarking">
    <vt:lpwstr>3;#Official|0884c477-2e62-47ea-b19c-5af6e91124c5</vt:lpwstr>
  </property>
  <property fmtid="{D5CDD505-2E9C-101B-9397-08002B2CF9AE}" pid="21" name="DfeOwner">
    <vt:lpwstr>6;#DfE|a484111e-5b24-4ad9-9778-c536c8c88985</vt:lpwstr>
  </property>
  <property fmtid="{D5CDD505-2E9C-101B-9397-08002B2CF9AE}" pid="22" name="DfeSubject">
    <vt:lpwstr/>
  </property>
  <property fmtid="{D5CDD505-2E9C-101B-9397-08002B2CF9AE}" pid="23" name="pd0bfabaa6cb47f7bff41b54a8405b46">
    <vt:lpwstr>STA|66576609-c685-49b2-8de0-b806a5dc4789</vt:lpwstr>
  </property>
  <property fmtid="{D5CDD505-2E9C-101B-9397-08002B2CF9AE}" pid="24" name="afedf6f4583d4414b8b49f98bd7a4a38">
    <vt:lpwstr>STA|c8765260-e14a-4cab-860c-a8f6854ef79c</vt:lpwstr>
  </property>
  <property fmtid="{D5CDD505-2E9C-101B-9397-08002B2CF9AE}" pid="25" name="cf01b81f267a4ae7a066de4ca5a45f7c">
    <vt:lpwstr>Official|0884c477-2e62-47ea-b19c-5af6e91124c5</vt:lpwstr>
  </property>
</Properties>
</file>